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 w:line="240" w:lineRule="auto"/>
      </w:pPr>
      <w:r>
        <w:rPr>
          <w:rFonts w:ascii="Arial" w:hAnsi="Arial" w:eastAsia="Arial"/>
          <w:b/>
          <w:color w:val="4D6D58"/>
          <w:sz w:val="40"/>
        </w:rPr>
        <w:t>Що зробити підприємству вже зараз</w:t>
      </w:r>
    </w:p>
    <w:p>
      <w:pPr>
        <w:spacing w:after="160" w:before="0" w:line="240" w:lineRule="auto"/>
      </w:pPr>
      <w:r>
        <w:rPr>
          <w:rFonts w:ascii="Arial" w:hAnsi="Arial" w:eastAsia="Arial"/>
          <w:b/>
          <w:color w:val="C27C2C"/>
          <w:sz w:val="24"/>
        </w:rPr>
        <w:t>Короткий чек-лист з електронного військового обліку після Постанови №812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364"/>
      </w:tblGrid>
      <w:tr>
        <w:tc>
          <w:tcPr>
            <w:tcW w:type="dxa" w:w="15364"/>
            <w:shd w:fill="F0EEEA"/>
            <w:tcBorders>
              <w:top w:val="single" w:sz="8" w:color="D5D0CA"/>
              <w:left w:val="single" w:sz="8" w:color="D5D0CA"/>
              <w:bottom w:val="single" w:sz="8" w:color="D5D0CA"/>
              <w:right w:val="single" w:sz="8" w:color="D5D0CA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4D6D58"/>
                <w:sz w:val="20"/>
              </w:rPr>
              <w:t xml:space="preserve">Як користуватися: </w:t>
            </w:r>
            <w:r>
              <w:rPr>
                <w:rFonts w:ascii="Arial" w:hAnsi="Arial" w:eastAsia="Arial"/>
                <w:b w:val="0"/>
                <w:color w:val="1E2522"/>
                <w:sz w:val="20"/>
              </w:rPr>
              <w:t>пройдіть чек-лист по кожному пункту, позначте виконані дії та одразу визначте, що потрібно доопрацювати до електронного звіряння, подання повідомлень або перевірки.</w:t>
            </w:r>
          </w:p>
        </w:tc>
      </w:tr>
    </w:tbl>
    <w:p>
      <w:pPr>
        <w:spacing w:after="6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841"/>
        <w:gridCol w:w="3841"/>
        <w:gridCol w:w="3841"/>
        <w:gridCol w:w="3841"/>
      </w:tblGrid>
      <w:tr>
        <w:trPr>
          <w:tblHeader w:val="true"/>
        </w:trPr>
        <w:tc>
          <w:tcPr>
            <w:tcW w:type="dxa" w:w="567"/>
            <w:shd w:fill="4D6D58"/>
            <w:tcMar>
              <w:top w:w="120" w:type="dxa"/>
              <w:start w:w="80" w:type="dxa"/>
              <w:bottom w:w="120" w:type="dxa"/>
              <w:end w:w="80" w:type="dxa"/>
            </w:tcMar>
            <w:vAlign w:val="center"/>
            <w:tcBorders>
              <w:top w:val="single" w:sz="8" w:color="4D6D58"/>
              <w:left w:val="single" w:sz="8" w:color="4D6D58"/>
              <w:bottom w:val="single" w:sz="8" w:color="4D6D58"/>
              <w:right w:val="single" w:sz="8" w:color="4D6D58"/>
            </w:tcBorders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/>
                <w:color w:val="FFFFFF"/>
                <w:sz w:val="19"/>
              </w:rPr>
              <w:t>№</w:t>
            </w:r>
          </w:p>
        </w:tc>
        <w:tc>
          <w:tcPr>
            <w:tcW w:type="dxa" w:w="3855"/>
            <w:shd w:fill="4D6D58"/>
            <w:tcMar>
              <w:top w:w="120" w:type="dxa"/>
              <w:start w:w="80" w:type="dxa"/>
              <w:bottom w:w="120" w:type="dxa"/>
              <w:end w:w="80" w:type="dxa"/>
            </w:tcMar>
            <w:vAlign w:val="center"/>
            <w:tcBorders>
              <w:top w:val="single" w:sz="8" w:color="4D6D58"/>
              <w:left w:val="single" w:sz="8" w:color="4D6D58"/>
              <w:bottom w:val="single" w:sz="8" w:color="4D6D58"/>
              <w:right w:val="single" w:sz="8" w:color="4D6D58"/>
            </w:tcBorders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/>
                <w:color w:val="FFFFFF"/>
                <w:sz w:val="19"/>
              </w:rPr>
              <w:t>Що зробити</w:t>
            </w:r>
          </w:p>
        </w:tc>
        <w:tc>
          <w:tcPr>
            <w:tcW w:type="dxa" w:w="9072"/>
            <w:shd w:fill="4D6D58"/>
            <w:tcMar>
              <w:top w:w="120" w:type="dxa"/>
              <w:start w:w="80" w:type="dxa"/>
              <w:bottom w:w="120" w:type="dxa"/>
              <w:end w:w="80" w:type="dxa"/>
            </w:tcMar>
            <w:vAlign w:val="center"/>
            <w:tcBorders>
              <w:top w:val="single" w:sz="8" w:color="4D6D58"/>
              <w:left w:val="single" w:sz="8" w:color="4D6D58"/>
              <w:bottom w:val="single" w:sz="8" w:color="4D6D58"/>
              <w:right w:val="single" w:sz="8" w:color="4D6D58"/>
            </w:tcBorders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/>
                <w:color w:val="FFFFFF"/>
                <w:sz w:val="19"/>
              </w:rPr>
              <w:t>Що перевірити / який результат має бути</w:t>
            </w:r>
          </w:p>
        </w:tc>
        <w:tc>
          <w:tcPr>
            <w:tcW w:type="dxa" w:w="1360"/>
            <w:shd w:fill="4D6D58"/>
            <w:tcMar>
              <w:top w:w="120" w:type="dxa"/>
              <w:start w:w="80" w:type="dxa"/>
              <w:bottom w:w="120" w:type="dxa"/>
              <w:end w:w="80" w:type="dxa"/>
            </w:tcMar>
            <w:vAlign w:val="center"/>
            <w:tcBorders>
              <w:top w:val="single" w:sz="8" w:color="4D6D58"/>
              <w:left w:val="single" w:sz="8" w:color="4D6D58"/>
              <w:bottom w:val="single" w:sz="8" w:color="4D6D58"/>
              <w:right w:val="single" w:sz="8" w:color="4D6D58"/>
            </w:tcBorders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/>
                <w:color w:val="FFFFFF"/>
                <w:sz w:val="19"/>
              </w:rPr>
              <w:t>Виконано</w:t>
            </w:r>
          </w:p>
        </w:tc>
      </w:tr>
      <w:tr>
        <w:trPr>
          <w:cantSplit/>
        </w:trPr>
        <w:tc>
          <w:tcPr>
            <w:tcW w:type="dxa" w:w="567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1</w:t>
            </w:r>
          </w:p>
        </w:tc>
        <w:tc>
          <w:tcPr>
            <w:tcW w:type="dxa" w:w="3855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Перевірити наказ про відповідальну особу</w:t>
            </w:r>
          </w:p>
        </w:tc>
        <w:tc>
          <w:tcPr>
            <w:tcW w:type="dxa" w:w="9072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Є актуальний наказ; визначено відповідальну особу; передбачено заміну на час відпустки, лікарняного або звільнення.</w:t>
            </w:r>
          </w:p>
        </w:tc>
        <w:tc>
          <w:tcPr>
            <w:tcW w:type="dxa" w:w="1360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2</w:t>
            </w:r>
          </w:p>
        </w:tc>
        <w:tc>
          <w:tcPr>
            <w:tcW w:type="dxa" w:w="3855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Перевірити КЕП керівника</w:t>
            </w:r>
          </w:p>
        </w:tc>
        <w:tc>
          <w:tcPr>
            <w:tcW w:type="dxa" w:w="9072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КЕП чинний; є доступ до носія/хмарного підпису; зрозуміло, хто підписує електронні повідомлення.</w:t>
            </w:r>
          </w:p>
        </w:tc>
        <w:tc>
          <w:tcPr>
            <w:tcW w:type="dxa" w:w="1360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3</w:t>
            </w:r>
          </w:p>
        </w:tc>
        <w:tc>
          <w:tcPr>
            <w:tcW w:type="dxa" w:w="3855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Перевірити КЕП відповідальної особи</w:t>
            </w:r>
          </w:p>
        </w:tc>
        <w:tc>
          <w:tcPr>
            <w:tcW w:type="dxa" w:w="9072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Відповідальна особа має чинний КЕП або визначено, хто буде формувати документи та передавати їх на підпис.</w:t>
            </w:r>
          </w:p>
        </w:tc>
        <w:tc>
          <w:tcPr>
            <w:tcW w:type="dxa" w:w="1360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4</w:t>
            </w:r>
          </w:p>
        </w:tc>
        <w:tc>
          <w:tcPr>
            <w:tcW w:type="dxa" w:w="3855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Визначити уповноважену / резервну особу</w:t>
            </w:r>
          </w:p>
        </w:tc>
        <w:tc>
          <w:tcPr>
            <w:tcW w:type="dxa" w:w="9072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Є внутрішній порядок: хто формує, хто підписує, хто контролює статуси і хто замінює відповідальну особу.</w:t>
            </w:r>
          </w:p>
        </w:tc>
        <w:tc>
          <w:tcPr>
            <w:tcW w:type="dxa" w:w="1360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5</w:t>
            </w:r>
          </w:p>
        </w:tc>
        <w:tc>
          <w:tcPr>
            <w:tcW w:type="dxa" w:w="3855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Оновити списки персонального військового обліку</w:t>
            </w:r>
          </w:p>
        </w:tc>
        <w:tc>
          <w:tcPr>
            <w:tcW w:type="dxa" w:w="9072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Списки відповідають кадровим наказам; внесені прийняті, звільнені, призупинені, увільнені працівники відповідно до правил обліку.</w:t>
            </w:r>
          </w:p>
        </w:tc>
        <w:tc>
          <w:tcPr>
            <w:tcW w:type="dxa" w:w="1360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6</w:t>
            </w:r>
          </w:p>
        </w:tc>
        <w:tc>
          <w:tcPr>
            <w:tcW w:type="dxa" w:w="3855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Перевірити ключові дані працівників</w:t>
            </w:r>
          </w:p>
        </w:tc>
        <w:tc>
          <w:tcPr>
            <w:tcW w:type="dxa" w:w="9072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ПІБ, РНОКПП/паспортні дані, дата народження, адреса, посада, наказ про прийняття, категорія обліку, ТЦК.</w:t>
            </w:r>
          </w:p>
        </w:tc>
        <w:tc>
          <w:tcPr>
            <w:tcW w:type="dxa" w:w="1360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7</w:t>
            </w:r>
          </w:p>
        </w:tc>
        <w:tc>
          <w:tcPr>
            <w:tcW w:type="dxa" w:w="3855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Перевірити наявність ВОД у працівників</w:t>
            </w:r>
          </w:p>
        </w:tc>
        <w:tc>
          <w:tcPr>
            <w:tcW w:type="dxa" w:w="9072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Є паперовий або електронний ВОД; для е-ВОД перевіряється дата формування, QR-код та актуальність даних.</w:t>
            </w:r>
          </w:p>
        </w:tc>
        <w:tc>
          <w:tcPr>
            <w:tcW w:type="dxa" w:w="1360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8</w:t>
            </w:r>
          </w:p>
        </w:tc>
        <w:tc>
          <w:tcPr>
            <w:tcW w:type="dxa" w:w="3855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Налаштувати електронний архів підтверджень</w:t>
            </w:r>
          </w:p>
        </w:tc>
        <w:tc>
          <w:tcPr>
            <w:tcW w:type="dxa" w:w="9072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Окрема папка/реєстр для квитанцій, статусів, скріншотів, повідомлень, описів вкладення та доказів подання.</w:t>
            </w:r>
          </w:p>
        </w:tc>
        <w:tc>
          <w:tcPr>
            <w:tcW w:type="dxa" w:w="1360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9</w:t>
            </w:r>
          </w:p>
        </w:tc>
        <w:tc>
          <w:tcPr>
            <w:tcW w:type="dxa" w:w="3855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Перевірити доступні сервіси Дії</w:t>
            </w:r>
          </w:p>
        </w:tc>
        <w:tc>
          <w:tcPr>
            <w:tcW w:type="dxa" w:w="9072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Перевірено, які сервіси реально доступні для роботодавця; не плутаємо Дію, Резерв+ і кабінет персонального обліку.</w:t>
            </w:r>
          </w:p>
        </w:tc>
        <w:tc>
          <w:tcPr>
            <w:tcW w:type="dxa" w:w="1360"/>
            <w:shd w:fill="FFFFFF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  <w:tr>
        <w:trPr>
          <w:cantSplit/>
        </w:trPr>
        <w:tc>
          <w:tcPr>
            <w:tcW w:type="dxa" w:w="567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10</w:t>
            </w:r>
          </w:p>
        </w:tc>
        <w:tc>
          <w:tcPr>
            <w:tcW w:type="dxa" w:w="3855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/>
                <w:color w:val="1E2522"/>
                <w:sz w:val="19"/>
              </w:rPr>
              <w:t>Визначити порядок дій, якщо сервіс недоступний</w:t>
            </w:r>
          </w:p>
        </w:tc>
        <w:tc>
          <w:tcPr>
            <w:tcW w:type="dxa" w:w="9072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59" w:lineRule="auto"/>
            </w:pPr>
            <w:r>
              <w:rPr>
                <w:rFonts w:ascii="Arial" w:hAnsi="Arial" w:eastAsia="Arial"/>
                <w:b w:val="0"/>
                <w:color w:val="1E2522"/>
                <w:sz w:val="18"/>
              </w:rPr>
              <w:t>Є резервний паперовий алгоритм: копія, опис вкладення, квитанція, повідомлення про вручення або відмітка про прийняття.</w:t>
            </w:r>
          </w:p>
        </w:tc>
        <w:tc>
          <w:tcPr>
            <w:tcW w:type="dxa" w:w="1360"/>
            <w:shd w:fill="FAFAF8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vAlign w:val="center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 w:val="0"/>
                <w:color w:val="C27C2C"/>
                <w:sz w:val="28"/>
              </w:rPr>
              <w:t>☐</w:t>
            </w:r>
          </w:p>
        </w:tc>
      </w:tr>
    </w:tbl>
    <w:p>
      <w:pPr>
        <w:spacing w:after="60" w:before="160" w:line="240" w:lineRule="auto"/>
      </w:pPr>
      <w:r>
        <w:rPr>
          <w:rFonts w:ascii="Arial" w:hAnsi="Arial" w:eastAsia="Arial"/>
          <w:b/>
          <w:color w:val="C27C2C"/>
          <w:sz w:val="20"/>
        </w:rPr>
        <w:t xml:space="preserve">Важливо: </w:t>
      </w:r>
      <w:r>
        <w:rPr>
          <w:rFonts w:ascii="Arial" w:hAnsi="Arial" w:eastAsia="Arial"/>
          <w:b w:val="0"/>
          <w:color w:val="1E2522"/>
          <w:sz w:val="20"/>
        </w:rPr>
        <w:t>якщо офіційний електронний сервіс недоступний, підприємство не припиняє військовий облік. Працюємо паперово та зберігаємо докази подання документів.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841"/>
        <w:gridCol w:w="3841"/>
        <w:gridCol w:w="3841"/>
        <w:gridCol w:w="3841"/>
      </w:tblGrid>
      <w:tr>
        <w:trPr>
          <w:cantSplit/>
        </w:trPr>
        <w:tc>
          <w:tcPr>
            <w:tcW w:type="dxa" w:w="2268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shd w:fill="E7EEE9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/>
                <w:color w:val="4D6D58"/>
                <w:sz w:val="18"/>
              </w:rPr>
              <w:t>Дата перевірки</w:t>
            </w:r>
          </w:p>
        </w:tc>
        <w:tc>
          <w:tcPr>
            <w:tcW w:type="dxa" w:w="3969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shd w:fill="E7EEE9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/>
                <w:color w:val="4D6D58"/>
                <w:sz w:val="18"/>
              </w:rPr>
              <w:t>Відповідальна особа</w:t>
            </w:r>
          </w:p>
        </w:tc>
        <w:tc>
          <w:tcPr>
            <w:tcW w:type="dxa" w:w="2268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shd w:fill="E7EEE9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/>
                <w:color w:val="4D6D58"/>
                <w:sz w:val="18"/>
              </w:rPr>
              <w:t>Підпис</w:t>
            </w:r>
          </w:p>
        </w:tc>
        <w:tc>
          <w:tcPr>
            <w:tcW w:type="dxa" w:w="6917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shd w:fill="E7EEE9"/>
          </w:tcPr>
          <w:p>
            <w:pPr>
              <w:spacing w:after="0" w:before="0" w:line="240" w:lineRule="auto"/>
              <w:jc w:val="center"/>
            </w:pPr>
            <w:r>
              <w:rPr>
                <w:rFonts w:ascii="Arial" w:hAnsi="Arial" w:eastAsia="Arial"/>
                <w:b/>
                <w:color w:val="4D6D58"/>
                <w:sz w:val="18"/>
              </w:rPr>
              <w:t>Що доопрацювати</w:t>
            </w:r>
          </w:p>
        </w:tc>
      </w:tr>
      <w:tr>
        <w:trPr>
          <w:cantSplit/>
        </w:trPr>
        <w:tc>
          <w:tcPr>
            <w:tcW w:type="dxa" w:w="2268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</w:tcPr>
          <w:p>
            <w:pPr>
              <w:spacing w:after="0" w:before="0" w:line="240" w:lineRule="auto"/>
            </w:pPr>
            <w:r>
              <w:rPr>
                <w:rFonts w:ascii="Arial" w:hAnsi="Arial" w:eastAsia="Arial"/>
                <w:b w:val="0"/>
                <w:color w:val="1E2522"/>
                <w:sz w:val="28"/>
              </w:rPr>
              <w:t xml:space="preserve"> </w:t>
            </w:r>
          </w:p>
        </w:tc>
        <w:tc>
          <w:tcPr>
            <w:tcW w:type="dxa" w:w="3969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</w:tcPr>
          <w:p>
            <w:pPr>
              <w:spacing w:after="0" w:before="0" w:line="240" w:lineRule="auto"/>
            </w:pPr>
            <w:r>
              <w:rPr>
                <w:rFonts w:ascii="Arial" w:hAnsi="Arial" w:eastAsia="Arial"/>
                <w:b w:val="0"/>
                <w:color w:val="1E2522"/>
                <w:sz w:val="28"/>
              </w:rPr>
              <w:t xml:space="preserve"> </w:t>
            </w:r>
          </w:p>
        </w:tc>
        <w:tc>
          <w:tcPr>
            <w:tcW w:type="dxa" w:w="2268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</w:tcPr>
          <w:p>
            <w:pPr>
              <w:spacing w:after="0" w:before="0" w:line="240" w:lineRule="auto"/>
            </w:pPr>
            <w:r>
              <w:rPr>
                <w:rFonts w:ascii="Arial" w:hAnsi="Arial" w:eastAsia="Arial"/>
                <w:b w:val="0"/>
                <w:color w:val="1E2522"/>
                <w:sz w:val="28"/>
              </w:rPr>
              <w:t xml:space="preserve"> </w:t>
            </w:r>
          </w:p>
        </w:tc>
        <w:tc>
          <w:tcPr>
            <w:tcW w:type="dxa" w:w="6917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</w:tcPr>
          <w:p>
            <w:pPr>
              <w:spacing w:after="0" w:before="0" w:line="240" w:lineRule="auto"/>
            </w:pPr>
            <w:r>
              <w:rPr>
                <w:rFonts w:ascii="Arial" w:hAnsi="Arial" w:eastAsia="Arial"/>
                <w:b w:val="0"/>
                <w:color w:val="1E2522"/>
                <w:sz w:val="28"/>
              </w:rPr>
              <w:t xml:space="preserve"> 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 w:orient="landscape"/>
      <w:pgMar w:top="680" w:right="737" w:bottom="68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 w:before="0" w:line="240" w:lineRule="auto"/>
      <w:jc w:val="center"/>
    </w:pPr>
    <w:r>
      <w:rPr>
        <w:rFonts w:ascii="Arial" w:hAnsi="Arial" w:eastAsia="Arial"/>
        <w:b w:val="0"/>
        <w:color w:val="6B6B6B"/>
        <w:sz w:val="17"/>
      </w:rPr>
      <w:t>ProОблік Онлайн • www.buhgalter24.com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 w:before="0" w:line="240" w:lineRule="auto"/>
      <w:jc w:val="right"/>
    </w:pPr>
    <w:r>
      <w:rPr>
        <w:rFonts w:ascii="Arial" w:hAnsi="Arial" w:eastAsia="Arial"/>
        <w:b w:val="0"/>
        <w:color w:val="6B6B6B"/>
        <w:sz w:val="17"/>
      </w:rPr>
      <w:t>ProОблік Онлайн | чек-лист для роботодавця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E25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Чек-лист: електронний військовий облік після Постанови №812</dc:title>
  <dc:subject>Військовий облік, Постанова №812, електронний облік</dc:subject>
  <dc:creator>ProОблік Онлайн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