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b/>
          <w:color w:val="4D6D58"/>
          <w:sz w:val="28"/>
        </w:rPr>
        <w:t>Pro</w:t>
      </w:r>
      <w:r>
        <w:rPr>
          <w:b/>
          <w:color w:val="C27C2C"/>
          <w:sz w:val="28"/>
        </w:rPr>
        <w:t>Облік</w:t>
      </w:r>
      <w:r>
        <w:rPr>
          <w:color w:val="4D6D58"/>
          <w:sz w:val="28"/>
        </w:rPr>
        <w:t xml:space="preserve"> Онлайн</w:t>
      </w:r>
    </w:p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5100"/>
          </w:tcPr>
          <w:p>
            <w:r/>
          </w:p>
        </w:tc>
        <w:tc>
          <w:tcPr>
            <w:tcW w:type="dxa" w:w="5100"/>
          </w:tcPr>
          <w:p>
            <w:pPr>
              <w:jc w:val="left"/>
            </w:pPr>
            <w:r>
              <w:rPr>
                <w:rFonts w:ascii="Arial" w:hAnsi="Arial"/>
                <w:b/>
                <w:sz w:val="21"/>
              </w:rPr>
              <w:t>АТ «БАНК»</w:t>
              <w:br/>
            </w:r>
            <w:r>
              <w:rPr>
                <w:rFonts w:ascii="Arial" w:hAnsi="Arial"/>
                <w:b w:val="0"/>
                <w:sz w:val="21"/>
              </w:rPr>
              <w:t>Відділу фінансового моніторингу</w:t>
              <w:br/>
            </w:r>
            <w:r>
              <w:rPr>
                <w:rFonts w:ascii="Arial" w:hAnsi="Arial"/>
                <w:b/>
                <w:sz w:val="21"/>
              </w:rPr>
              <w:t>від ТОВ «АЛЬФА»</w:t>
              <w:br/>
            </w:r>
            <w:r>
              <w:rPr>
                <w:rFonts w:ascii="Arial" w:hAnsi="Arial"/>
                <w:b w:val="0"/>
                <w:sz w:val="21"/>
              </w:rPr>
              <w:t>код ЄДРПОУ 12345678</w:t>
              <w:br/>
            </w:r>
          </w:p>
        </w:tc>
      </w:tr>
    </w:tbl>
    <w:p/>
    <w:p>
      <w:pPr>
        <w:jc w:val="center"/>
      </w:pPr>
      <w:r>
        <w:rPr>
          <w:b/>
          <w:sz w:val="28"/>
        </w:rPr>
        <w:t>ПОЯСНЕННЯ</w:t>
      </w:r>
    </w:p>
    <w:p>
      <w:pPr>
        <w:jc w:val="center"/>
      </w:pPr>
      <w:r>
        <w:rPr>
          <w:b/>
          <w:sz w:val="23"/>
        </w:rPr>
        <w:t>щодо економічного змісту платежів на користь ФОП</w:t>
      </w:r>
    </w:p>
    <w:p>
      <w:pPr>
        <w:spacing w:after="120"/>
      </w:pPr>
      <w:r>
        <w:rPr>
          <w:sz w:val="21"/>
        </w:rPr>
        <w:t>На запит Банку від ___ __________ 2026 року № ___ повідомляємо таке.</w:t>
      </w:r>
    </w:p>
    <w:p>
      <w:pPr>
        <w:spacing w:after="120"/>
      </w:pPr>
      <w:r>
        <w:t>ТОВ «Альфа» здійснює оптову торгівлю обладнанням. У зв’язку з виходом підприємства у три нові регіони у серпні 2026 року було залучено трьох зовнішніх виконавців-ФОП. Кожний виконавець виконує окрему функцію; послуги не дублюються.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191"/>
        <w:gridCol w:w="2438"/>
        <w:gridCol w:w="2324"/>
        <w:gridCol w:w="2098"/>
        <w:gridCol w:w="1247"/>
      </w:tblGrid>
      <w:tr>
        <w:tc>
          <w:tcPr>
            <w:tcW w:type="dxa" w:w="2040"/>
            <w:shd w:fill="EAEFEA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Arial" w:hAnsi="Arial"/>
                <w:b/>
                <w:sz w:val="18"/>
              </w:rPr>
              <w:t>Виконавець</w:t>
            </w:r>
          </w:p>
        </w:tc>
        <w:tc>
          <w:tcPr>
            <w:tcW w:type="dxa" w:w="2040"/>
            <w:shd w:fill="EAEFEA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Arial" w:hAnsi="Arial"/>
                <w:b/>
                <w:sz w:val="18"/>
              </w:rPr>
              <w:t>Завдання</w:t>
            </w:r>
          </w:p>
        </w:tc>
        <w:tc>
          <w:tcPr>
            <w:tcW w:type="dxa" w:w="2040"/>
            <w:shd w:fill="EAEFEA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Arial" w:hAnsi="Arial"/>
                <w:b/>
                <w:sz w:val="18"/>
              </w:rPr>
              <w:t>Результат</w:t>
            </w:r>
          </w:p>
        </w:tc>
        <w:tc>
          <w:tcPr>
            <w:tcW w:type="dxa" w:w="2040"/>
            <w:shd w:fill="EAEFEA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Arial" w:hAnsi="Arial"/>
                <w:b/>
                <w:sz w:val="18"/>
              </w:rPr>
              <w:t>Підтвердження</w:t>
            </w:r>
          </w:p>
        </w:tc>
        <w:tc>
          <w:tcPr>
            <w:tcW w:type="dxa" w:w="2040"/>
            <w:shd w:fill="EAEFEA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Arial" w:hAnsi="Arial"/>
                <w:b/>
                <w:sz w:val="18"/>
              </w:rPr>
              <w:t>Сума, грн</w:t>
            </w:r>
          </w:p>
        </w:tc>
      </w:tr>
      <w:tr>
        <w:tc>
          <w:tcPr>
            <w:tcW w:type="dxa" w:w="1191"/>
            <w:tcMar>
              <w:top w:w="80" w:type="dxa"/>
              <w:start w:w="90" w:type="dxa"/>
              <w:bottom w:w="8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ФОП №1</w:t>
            </w:r>
          </w:p>
        </w:tc>
        <w:tc>
          <w:tcPr>
            <w:tcW w:type="dxa" w:w="2438"/>
            <w:tcMar>
              <w:top w:w="80" w:type="dxa"/>
              <w:start w:w="90" w:type="dxa"/>
              <w:bottom w:w="8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Аналіз регіональних ринків і конкурентів</w:t>
            </w:r>
          </w:p>
        </w:tc>
        <w:tc>
          <w:tcPr>
            <w:tcW w:type="dxa" w:w="2324"/>
            <w:tcMar>
              <w:top w:w="80" w:type="dxa"/>
              <w:start w:w="90" w:type="dxa"/>
              <w:bottom w:w="8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Аналітичний звіт та рекомендації</w:t>
            </w:r>
          </w:p>
        </w:tc>
        <w:tc>
          <w:tcPr>
            <w:tcW w:type="dxa" w:w="2098"/>
            <w:tcMar>
              <w:top w:w="80" w:type="dxa"/>
              <w:start w:w="90" w:type="dxa"/>
              <w:bottom w:w="8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Завдання, звіт, таблиці конкурентів</w:t>
            </w:r>
          </w:p>
        </w:tc>
        <w:tc>
          <w:tcPr>
            <w:tcW w:type="dxa" w:w="1247"/>
            <w:tcMar>
              <w:top w:w="80" w:type="dxa"/>
              <w:start w:w="90" w:type="dxa"/>
              <w:bottom w:w="8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70 000</w:t>
            </w:r>
          </w:p>
        </w:tc>
      </w:tr>
      <w:tr>
        <w:tc>
          <w:tcPr>
            <w:tcW w:type="dxa" w:w="1191"/>
            <w:tcMar>
              <w:top w:w="80" w:type="dxa"/>
              <w:start w:w="90" w:type="dxa"/>
              <w:bottom w:w="8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ФОП №2</w:t>
            </w:r>
          </w:p>
        </w:tc>
        <w:tc>
          <w:tcPr>
            <w:tcW w:type="dxa" w:w="2438"/>
            <w:tcMar>
              <w:top w:w="80" w:type="dxa"/>
              <w:start w:w="90" w:type="dxa"/>
              <w:bottom w:w="8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Налаштування та супровід рекламних кампаній</w:t>
            </w:r>
          </w:p>
        </w:tc>
        <w:tc>
          <w:tcPr>
            <w:tcW w:type="dxa" w:w="2324"/>
            <w:tcMar>
              <w:top w:w="80" w:type="dxa"/>
              <w:start w:w="90" w:type="dxa"/>
              <w:bottom w:w="8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Налаштовані кампанії, статистика та оптимізація</w:t>
            </w:r>
          </w:p>
        </w:tc>
        <w:tc>
          <w:tcPr>
            <w:tcW w:type="dxa" w:w="2098"/>
            <w:tcMar>
              <w:top w:w="80" w:type="dxa"/>
              <w:start w:w="90" w:type="dxa"/>
              <w:bottom w:w="8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Завдання, акт, звіт, дані рекламного кабінету</w:t>
            </w:r>
          </w:p>
        </w:tc>
        <w:tc>
          <w:tcPr>
            <w:tcW w:type="dxa" w:w="1247"/>
            <w:tcMar>
              <w:top w:w="80" w:type="dxa"/>
              <w:start w:w="90" w:type="dxa"/>
              <w:bottom w:w="8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100 000</w:t>
            </w:r>
          </w:p>
        </w:tc>
      </w:tr>
      <w:tr>
        <w:tc>
          <w:tcPr>
            <w:tcW w:type="dxa" w:w="1191"/>
            <w:tcMar>
              <w:top w:w="80" w:type="dxa"/>
              <w:start w:w="90" w:type="dxa"/>
              <w:bottom w:w="8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ФОП №3</w:t>
            </w:r>
          </w:p>
        </w:tc>
        <w:tc>
          <w:tcPr>
            <w:tcW w:type="dxa" w:w="2438"/>
            <w:tcMar>
              <w:top w:w="80" w:type="dxa"/>
              <w:start w:w="90" w:type="dxa"/>
              <w:bottom w:w="8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Розробка контенту та аналітика каналів залучення</w:t>
            </w:r>
          </w:p>
        </w:tc>
        <w:tc>
          <w:tcPr>
            <w:tcW w:type="dxa" w:w="2324"/>
            <w:tcMar>
              <w:top w:w="80" w:type="dxa"/>
              <w:start w:w="90" w:type="dxa"/>
              <w:bottom w:w="8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Контент-план, публікації, аналітичний звіт</w:t>
            </w:r>
          </w:p>
        </w:tc>
        <w:tc>
          <w:tcPr>
            <w:tcW w:type="dxa" w:w="2098"/>
            <w:tcMar>
              <w:top w:w="80" w:type="dxa"/>
              <w:start w:w="90" w:type="dxa"/>
              <w:bottom w:w="8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Завдання, акт, файли, посилання, статистика</w:t>
            </w:r>
          </w:p>
        </w:tc>
        <w:tc>
          <w:tcPr>
            <w:tcW w:type="dxa" w:w="1247"/>
            <w:tcMar>
              <w:top w:w="80" w:type="dxa"/>
              <w:start w:w="90" w:type="dxa"/>
              <w:bottom w:w="8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120 000</w:t>
            </w:r>
          </w:p>
        </w:tc>
      </w:tr>
    </w:tbl>
    <w:p>
      <w:pPr>
        <w:spacing w:before="140" w:after="100"/>
      </w:pPr>
      <w:r>
        <w:rPr>
          <w:b/>
        </w:rPr>
        <w:t xml:space="preserve">Загальна сума щомісячних платежів: </w:t>
      </w:r>
      <w:r>
        <w:t>290 000 грн.</w:t>
      </w:r>
    </w:p>
    <w:p>
      <w:pPr>
        <w:spacing w:after="100"/>
      </w:pPr>
      <w:r>
        <w:t>Обсяг і очікуваний результат послуг визначено договорами та завданнями на відповідний період. Після виконання послуг підприємство отримує окремі результати за кожним напрямом, що дозволяє ідентифікувати зміст кожної операції та розмежувати функції виконавців.</w:t>
      </w:r>
    </w:p>
    <w:p>
      <w:pPr>
        <w:spacing w:after="60"/>
      </w:pPr>
      <w:r>
        <w:rPr>
          <w:b/>
        </w:rPr>
        <w:t>До пояснення додаються:</w:t>
      </w:r>
    </w:p>
    <w:p>
      <w:pPr>
        <w:spacing w:after="0"/>
        <w:ind w:left="255" w:hanging="142"/>
      </w:pPr>
      <w:r>
        <w:rPr>
          <w:b/>
        </w:rPr>
        <w:t xml:space="preserve">• </w:t>
      </w:r>
      <w:r>
        <w:t>копії договорів з ФОП №1, ФОП №2 та ФОП №3;</w:t>
      </w:r>
    </w:p>
    <w:p>
      <w:pPr>
        <w:spacing w:after="0"/>
        <w:ind w:left="255" w:hanging="142"/>
      </w:pPr>
      <w:r>
        <w:rPr>
          <w:b/>
        </w:rPr>
        <w:t xml:space="preserve">• </w:t>
      </w:r>
      <w:r>
        <w:t>завдання на серпень 2026 року;</w:t>
      </w:r>
    </w:p>
    <w:p>
      <w:pPr>
        <w:spacing w:after="0"/>
        <w:ind w:left="255" w:hanging="142"/>
      </w:pPr>
      <w:r>
        <w:rPr>
          <w:b/>
        </w:rPr>
        <w:t xml:space="preserve">• </w:t>
      </w:r>
      <w:r>
        <w:t>акти / інші первинні документи за відповідний період;</w:t>
      </w:r>
    </w:p>
    <w:p>
      <w:pPr>
        <w:spacing w:after="0"/>
        <w:ind w:left="255" w:hanging="142"/>
      </w:pPr>
      <w:r>
        <w:rPr>
          <w:b/>
        </w:rPr>
        <w:t xml:space="preserve">• </w:t>
      </w:r>
      <w:r>
        <w:t>звіти виконавців;</w:t>
      </w:r>
    </w:p>
    <w:p>
      <w:pPr>
        <w:spacing w:after="0"/>
        <w:ind w:left="255" w:hanging="142"/>
      </w:pPr>
      <w:r>
        <w:rPr>
          <w:b/>
        </w:rPr>
        <w:t xml:space="preserve">• </w:t>
      </w:r>
      <w:r>
        <w:t>матеріали, що підтверджують фактичний результат: таблиці, файли, посилання, статистика та дані рекламних кабінетів.</w:t>
      </w:r>
    </w:p>
    <w:p>
      <w:pPr>
        <w:spacing w:before="120" w:after="100"/>
      </w:pPr>
      <w:r>
        <w:t>Зазначені платежі пов’язані з господарською діяльністю ТОВ «Альфа» та здійснюються за фактично надані, окремо визначені послуги зовнішніх виконавців.</w:t>
      </w:r>
    </w:p>
    <w:p>
      <w:pPr>
        <w:spacing w:before="140"/>
      </w:pPr>
      <w:r>
        <w:rPr>
          <w:b/>
        </w:rPr>
        <w:t>Директор ТОВ «Альфа»</w:t>
      </w:r>
      <w:r>
        <w:t xml:space="preserve">    ____________________    Іван Петренко</w:t>
      </w:r>
    </w:p>
    <w:p>
      <w:pPr>
        <w:spacing w:before="0"/>
      </w:pPr>
      <w:r>
        <w:t>Дата: ___ __________ 2026 року</w:t>
      </w:r>
    </w:p>
    <w:sectPr w:rsidR="00FC693F" w:rsidRPr="0006063C" w:rsidSect="00034616">
      <w:footerReference w:type="default" r:id="rId9"/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46464"/>
        <w:sz w:val="16"/>
      </w:rPr>
      <w:t>Зразок для адаптації під фактичний запит банку та реальні обставини операції.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